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FFE6" w14:textId="4793B10F" w:rsidR="00BF19CB" w:rsidRPr="00FA4748" w:rsidRDefault="00AC18C2" w:rsidP="00FA4748">
      <w:pPr>
        <w:pStyle w:val="Otsikko10"/>
        <w:rPr>
          <w:rFonts w:ascii="Trebuchet MS" w:eastAsia="Calibri" w:hAnsi="Trebuchet MS"/>
          <w:color w:val="auto"/>
          <w:sz w:val="32"/>
          <w:szCs w:val="32"/>
          <w:lang w:eastAsia="en-US"/>
        </w:rPr>
      </w:pPr>
      <w:r w:rsidRPr="00FA4748">
        <w:rPr>
          <w:rFonts w:ascii="Trebuchet MS" w:eastAsia="Calibri" w:hAnsi="Trebuchet MS"/>
          <w:color w:val="auto"/>
          <w:sz w:val="32"/>
          <w:szCs w:val="32"/>
          <w:lang w:eastAsia="en-US"/>
        </w:rPr>
        <w:t>Rintasyövän kuvantamisseuranta</w:t>
      </w:r>
    </w:p>
    <w:p w14:paraId="392EDD8B" w14:textId="77777777" w:rsidR="00BF19CB" w:rsidRPr="00BF19CB" w:rsidRDefault="00BF19CB" w:rsidP="00FA4748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55F5DFCE" w14:textId="31BDBCDB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lang w:eastAsia="en-US"/>
          <w14:ligatures w14:val="standardContextual"/>
        </w:rPr>
        <w:t>Rintasyövän kuvantamisseuranta jatkuu 75–80-vuotiaaksi</w:t>
      </w:r>
      <w:r w:rsidRPr="00BF19CB">
        <w:rPr>
          <w:rFonts w:eastAsia="Calibri" w:cs="Calibri"/>
          <w:kern w:val="2"/>
          <w:lang w:eastAsia="en-US"/>
          <w14:ligatures w14:val="standardContextual"/>
        </w:rPr>
        <w:t xml:space="preserve"> potilaan yleiskunnon mukaan. Kuvantamisseurannan perustutkimus on mammografia. Ultraäänitutkimusta tehdään vain harkituissa tilanteissa. Ultraäänitutkimuksen tarve harkitaan erityisesti residiiviriskin ja mammografiakuvissa näkyvän rinnan tiiviyden perusteella.</w:t>
      </w:r>
    </w:p>
    <w:p w14:paraId="5497D885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605A5BBA" w14:textId="044BBFFA" w:rsidR="00BF19CB" w:rsidRPr="00BF19CB" w:rsidRDefault="00BF19CB" w:rsidP="00BF19CB">
      <w:pPr>
        <w:jc w:val="both"/>
      </w:pPr>
      <w:r w:rsidRPr="00BF19CB">
        <w:rPr>
          <w:b/>
          <w:bCs/>
        </w:rPr>
        <w:t>Rintasyövän sairastanutta miestä seurataan pääsääntöisesti kliinisesti</w:t>
      </w:r>
      <w:r w:rsidRPr="00BF19CB">
        <w:t xml:space="preserve">. Säästävän leikkauksen jälkeen voidaan harkita hoidetun rinnan mammografiaa 5–10 vuoden ajan, erityisesti mikäli miehellä on todettu BRCA-geenivirhe ja merkittävä gynekomastia. </w:t>
      </w:r>
    </w:p>
    <w:p w14:paraId="057DE09D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491EAC0B" w14:textId="0E265EA6" w:rsidR="00BF19CB" w:rsidRPr="00BF19CB" w:rsidRDefault="00BF19CB" w:rsidP="00BF19CB">
      <w:pPr>
        <w:rPr>
          <w:rFonts w:eastAsia="Calibri" w:cs="Calibri"/>
          <w:b/>
          <w:bCs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lang w:eastAsia="en-US"/>
          <w14:ligatures w14:val="standardContextual"/>
        </w:rPr>
        <w:t>Ablaatio/ rekonstruktiorinta ei tarvitse rutiininomaista kuvantamisseurantaa. Jäljellä olevaa rintaa seurataan mammografialla joka toinen vuosi, esimerkiksi seulonnassa. Jos molemmat rinnat on poistettu, seurataan kliinisesti, ei kuvantamisseurantaa.</w:t>
      </w:r>
    </w:p>
    <w:p w14:paraId="7A085F24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2E36E79C" w14:textId="04C0302E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lang w:eastAsia="en-US"/>
          <w14:ligatures w14:val="standardContextual"/>
        </w:rPr>
        <w:t>Oireettomia, säästävästi leikattuja</w:t>
      </w:r>
      <w:r w:rsidRPr="00BF19CB">
        <w:rPr>
          <w:rFonts w:eastAsia="Calibri" w:cs="Calibri"/>
          <w:kern w:val="2"/>
          <w:lang w:eastAsia="en-US"/>
          <w14:ligatures w14:val="standardContextual"/>
        </w:rPr>
        <w:t xml:space="preserve"> rintasyöpäpotilaita seurataan sairastetun rintasyövän perusteella määritetyn rinnan paikallisen residiivin riskiperusteisen suosituksen mukaisesti (alla). </w:t>
      </w:r>
      <w:r w:rsidR="00AC18C2">
        <w:rPr>
          <w:rFonts w:eastAsia="Calibri" w:cs="Calibri"/>
          <w:kern w:val="2"/>
          <w:lang w:eastAsia="en-US"/>
          <w14:ligatures w14:val="standardContextual"/>
        </w:rPr>
        <w:br/>
      </w:r>
      <w:r w:rsidRPr="00BF19CB">
        <w:rPr>
          <w:rFonts w:eastAsia="Calibri" w:cs="Calibri"/>
          <w:kern w:val="2"/>
          <w:lang w:eastAsia="en-US"/>
          <w14:ligatures w14:val="standardContextual"/>
        </w:rPr>
        <w:t>Kuvantamisseuranta on korkeamman uusiutumisriskin syövissä alussa tiheämpää. Mammografiaseulontaa hyödynnetään seurannassa.</w:t>
      </w:r>
    </w:p>
    <w:p w14:paraId="0B600525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7DB21C21" w14:textId="77777777" w:rsidR="00BF19CB" w:rsidRPr="00BF19CB" w:rsidRDefault="00BF19CB" w:rsidP="00BF19CB">
      <w:pPr>
        <w:rPr>
          <w:rFonts w:eastAsia="Calibri" w:cs="Calibri"/>
          <w:kern w:val="2"/>
          <w:sz w:val="28"/>
          <w:szCs w:val="28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Matala uusiutumisriski</w:t>
      </w:r>
      <w:r w:rsidRPr="00BF19CB">
        <w:rPr>
          <w:rFonts w:eastAsia="Calibri" w:cs="Calibri"/>
          <w:kern w:val="2"/>
          <w:sz w:val="28"/>
          <w:szCs w:val="28"/>
          <w:lang w:eastAsia="en-US"/>
          <w14:ligatures w14:val="standardContextual"/>
        </w:rPr>
        <w:t>:</w:t>
      </w:r>
    </w:p>
    <w:p w14:paraId="34EE06F7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2A8DF7A4" w14:textId="77777777" w:rsidR="00BF19CB" w:rsidRPr="00BF19CB" w:rsidRDefault="00BF19CB" w:rsidP="00BF19CB">
      <w:pPr>
        <w:numPr>
          <w:ilvl w:val="0"/>
          <w:numId w:val="19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DCIS</w:t>
      </w:r>
    </w:p>
    <w:p w14:paraId="2362141D" w14:textId="77777777" w:rsidR="00BF19CB" w:rsidRPr="00BF19CB" w:rsidRDefault="00BF19CB" w:rsidP="00BF19CB">
      <w:pPr>
        <w:numPr>
          <w:ilvl w:val="0"/>
          <w:numId w:val="19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 xml:space="preserve">T1a (2–5 mm) ja 1b (6–10 mm), HER2-negatiivinen ja vahvasti hormonireseptoripositiivinen </w:t>
      </w:r>
    </w:p>
    <w:p w14:paraId="04AA6598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18082F85" w14:textId="4DC2A91C" w:rsidR="00BF19CB" w:rsidRPr="00572B57" w:rsidRDefault="00BF19CB" w:rsidP="00572B57">
      <w:pPr>
        <w:pStyle w:val="Luettelokappale"/>
        <w:numPr>
          <w:ilvl w:val="0"/>
          <w:numId w:val="21"/>
        </w:numPr>
        <w:rPr>
          <w:rFonts w:eastAsia="Calibri" w:cs="Calibri"/>
          <w:b/>
          <w:bCs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>Mammografia 2 vuoden välein, seulontaikäiset seulonnassa</w:t>
      </w:r>
    </w:p>
    <w:p w14:paraId="0D13B6BE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48565E0E" w14:textId="77777777" w:rsidR="00BF19CB" w:rsidRPr="00BF19CB" w:rsidRDefault="00BF19CB" w:rsidP="00BF19CB">
      <w:pPr>
        <w:rPr>
          <w:rFonts w:eastAsia="Calibri" w:cs="Calibri"/>
          <w:kern w:val="2"/>
          <w:sz w:val="28"/>
          <w:szCs w:val="28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Korkea uusiutumisriski</w:t>
      </w:r>
      <w:r w:rsidRPr="00BF19CB">
        <w:rPr>
          <w:rFonts w:eastAsia="Calibri" w:cs="Calibri"/>
          <w:kern w:val="2"/>
          <w:sz w:val="28"/>
          <w:szCs w:val="28"/>
          <w:lang w:eastAsia="en-US"/>
          <w14:ligatures w14:val="standardContextual"/>
        </w:rPr>
        <w:t>:</w:t>
      </w:r>
    </w:p>
    <w:p w14:paraId="3463206B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59DF80D6" w14:textId="77777777" w:rsidR="00BF19CB" w:rsidRPr="00BF19CB" w:rsidRDefault="00BF19CB" w:rsidP="00BF19CB">
      <w:pPr>
        <w:numPr>
          <w:ilvl w:val="0"/>
          <w:numId w:val="20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Triplanegatiiviset (ei T1a)</w:t>
      </w:r>
    </w:p>
    <w:p w14:paraId="6E5E7505" w14:textId="77777777" w:rsidR="00BF19CB" w:rsidRPr="00BF19CB" w:rsidRDefault="00BF19CB" w:rsidP="00BF19CB">
      <w:pPr>
        <w:numPr>
          <w:ilvl w:val="0"/>
          <w:numId w:val="20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HER2-positiiviset (ei T1a)</w:t>
      </w:r>
    </w:p>
    <w:p w14:paraId="38BC3482" w14:textId="77777777" w:rsidR="00BF19CB" w:rsidRPr="00BF19CB" w:rsidRDefault="00BF19CB" w:rsidP="00BF19CB">
      <w:pPr>
        <w:numPr>
          <w:ilvl w:val="0"/>
          <w:numId w:val="20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Rinnan residiivit (jos residiivirintaa ei ole poistettu)</w:t>
      </w:r>
    </w:p>
    <w:p w14:paraId="27372416" w14:textId="77777777" w:rsidR="00BF19CB" w:rsidRPr="00BF19CB" w:rsidRDefault="00BF19CB" w:rsidP="00BF19CB">
      <w:pPr>
        <w:numPr>
          <w:ilvl w:val="0"/>
          <w:numId w:val="20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Säästävästi leikattu T3-T4</w:t>
      </w:r>
    </w:p>
    <w:p w14:paraId="09703710" w14:textId="77777777" w:rsidR="00BF19CB" w:rsidRPr="00BF19CB" w:rsidRDefault="00BF19CB" w:rsidP="00BF19CB">
      <w:pPr>
        <w:numPr>
          <w:ilvl w:val="0"/>
          <w:numId w:val="20"/>
        </w:numPr>
        <w:contextualSpacing/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>&lt;40 v.</w:t>
      </w:r>
    </w:p>
    <w:p w14:paraId="30FD16D6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7861E828" w14:textId="025ED2ED" w:rsidR="00BF19CB" w:rsidRPr="00572B57" w:rsidRDefault="00BF19CB" w:rsidP="00572B57">
      <w:pPr>
        <w:pStyle w:val="Luettelokappale"/>
        <w:numPr>
          <w:ilvl w:val="0"/>
          <w:numId w:val="21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>≥ 50-vuotiaat: Mammografia vuosittain ensimmäiset 3 vuotta hoitojen päättymisestä, jonka jälkeen 2 vuoden välein.</w:t>
      </w:r>
    </w:p>
    <w:p w14:paraId="5F142D42" w14:textId="65D6CE32" w:rsidR="00BF19CB" w:rsidRPr="00572B57" w:rsidRDefault="00BF19CB" w:rsidP="00572B57">
      <w:pPr>
        <w:pStyle w:val="Luettelokappale"/>
        <w:numPr>
          <w:ilvl w:val="0"/>
          <w:numId w:val="21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>&lt; 50-vuotiaat: Mammografia vuosittain ensimmäisen 5 vuoden ajan, jonka jälkeen 2 vuoden välein</w:t>
      </w:r>
      <w:r w:rsidRPr="00572B57">
        <w:rPr>
          <w:rFonts w:eastAsia="Calibri" w:cs="Calibri"/>
          <w:i/>
          <w:iCs/>
          <w:kern w:val="2"/>
          <w:lang w:eastAsia="en-US"/>
          <w14:ligatures w14:val="standardContextual"/>
        </w:rPr>
        <w:t xml:space="preserve">. </w:t>
      </w:r>
    </w:p>
    <w:p w14:paraId="24191804" w14:textId="66240DF9" w:rsidR="00BF19CB" w:rsidRPr="00572B57" w:rsidRDefault="00BF19CB" w:rsidP="00572B57">
      <w:pPr>
        <w:pStyle w:val="Luettelokappale"/>
        <w:numPr>
          <w:ilvl w:val="0"/>
          <w:numId w:val="21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kern w:val="2"/>
          <w:lang w:eastAsia="en-US"/>
          <w14:ligatures w14:val="standardContextual"/>
        </w:rPr>
        <w:t>Mammografiaseulontaa voidaan hyödyntää seurannassa.</w:t>
      </w:r>
    </w:p>
    <w:p w14:paraId="71BB1F87" w14:textId="639D8E44" w:rsidR="00BF19CB" w:rsidRPr="00572B57" w:rsidRDefault="00BF19CB" w:rsidP="00572B57">
      <w:pPr>
        <w:pStyle w:val="Luettelokappale"/>
        <w:numPr>
          <w:ilvl w:val="0"/>
          <w:numId w:val="21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kern w:val="2"/>
          <w:lang w:eastAsia="en-US"/>
          <w14:ligatures w14:val="standardContextual"/>
        </w:rPr>
        <w:t>Mikäli mammografia on vaikeatulkintainen, esim. C/D tiiviys yli neljänneksen alueella, niin lisänä UÄ ensimmäisten 5 vuoden ajan</w:t>
      </w:r>
    </w:p>
    <w:p w14:paraId="32B56239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6C6D4099" w14:textId="77777777" w:rsidR="00BF19CB" w:rsidRDefault="00BF19CB">
      <w:pPr>
        <w:spacing w:after="160" w:line="259" w:lineRule="auto"/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br w:type="page"/>
      </w:r>
    </w:p>
    <w:p w14:paraId="7385F900" w14:textId="1E9244FC" w:rsidR="00BF19CB" w:rsidRPr="00BF19CB" w:rsidRDefault="00BF19CB" w:rsidP="00BF19CB">
      <w:pPr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lastRenderedPageBreak/>
        <w:t>Keskikorkea uusiutumisriski</w:t>
      </w:r>
    </w:p>
    <w:p w14:paraId="75AE5C19" w14:textId="77777777" w:rsidR="00BF19CB" w:rsidRPr="00BF19CB" w:rsidRDefault="00BF19CB" w:rsidP="00BF19CB">
      <w:pPr>
        <w:rPr>
          <w:rFonts w:eastAsia="Calibri" w:cs="Calibri"/>
          <w:kern w:val="2"/>
          <w:u w:val="single"/>
          <w:lang w:eastAsia="en-US"/>
          <w14:ligatures w14:val="standardContextual"/>
        </w:rPr>
      </w:pPr>
    </w:p>
    <w:p w14:paraId="3D1028E3" w14:textId="4EBDA8BC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 xml:space="preserve">Muut rintasyöpään sairastuneet, jotka eivät täytä edellä mainittuja kriteereitä.  </w:t>
      </w:r>
    </w:p>
    <w:p w14:paraId="2FFD6568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27281190" w14:textId="77777777" w:rsidR="00BF19CB" w:rsidRPr="00BF19CB" w:rsidRDefault="00BF19CB" w:rsidP="00BF19CB">
      <w:pPr>
        <w:rPr>
          <w:rFonts w:eastAsia="Calibri" w:cs="Calibri"/>
          <w:b/>
          <w:bCs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b/>
          <w:bCs/>
          <w:kern w:val="2"/>
          <w:lang w:eastAsia="en-US"/>
          <w14:ligatures w14:val="standardContextual"/>
        </w:rPr>
        <w:t xml:space="preserve">Mammografiaseuranta 1–2 vuoden välein moniammatillisen kokouksen harkinnan perusteella. </w:t>
      </w:r>
    </w:p>
    <w:p w14:paraId="47367F6E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  <w:r w:rsidRPr="00BF19CB">
        <w:rPr>
          <w:rFonts w:eastAsia="Calibri" w:cs="Calibri"/>
          <w:kern w:val="2"/>
          <w:lang w:eastAsia="en-US"/>
          <w14:ligatures w14:val="standardContextual"/>
        </w:rPr>
        <w:t xml:space="preserve">Mikäli ensimmäisten vuosien ajalle päädytään vuosittaiseen seurantaan: </w:t>
      </w:r>
    </w:p>
    <w:p w14:paraId="10C368B2" w14:textId="77777777" w:rsidR="00BF19CB" w:rsidRPr="00BF19CB" w:rsidRDefault="00BF19CB" w:rsidP="00BF19CB">
      <w:pPr>
        <w:rPr>
          <w:rFonts w:eastAsia="Calibri" w:cs="Calibri"/>
          <w:kern w:val="2"/>
          <w:lang w:eastAsia="en-US"/>
          <w14:ligatures w14:val="standardContextual"/>
        </w:rPr>
      </w:pPr>
    </w:p>
    <w:p w14:paraId="33941DF3" w14:textId="4285C717" w:rsidR="00BF19CB" w:rsidRPr="00572B57" w:rsidRDefault="00BF19CB" w:rsidP="00572B57">
      <w:pPr>
        <w:pStyle w:val="Luettelokappale"/>
        <w:numPr>
          <w:ilvl w:val="0"/>
          <w:numId w:val="22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>≥ 50-vuotiaat: Mammografia vuosittain ensimmäiset 3 vuotta hoitojen päättymisestä, jonka jälkeen 2 vuoden välein.</w:t>
      </w:r>
    </w:p>
    <w:p w14:paraId="544DD056" w14:textId="56555CB8" w:rsidR="00BF19CB" w:rsidRPr="00572B57" w:rsidRDefault="00BF19CB" w:rsidP="00572B57">
      <w:pPr>
        <w:pStyle w:val="Luettelokappale"/>
        <w:numPr>
          <w:ilvl w:val="0"/>
          <w:numId w:val="22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 xml:space="preserve">&lt; 50-vuotiaat: Mammografia vuosittain ensimmäisen 5 vuoden ajan, jonka jälkeen </w:t>
      </w:r>
      <w:r w:rsidR="00ED1676">
        <w:rPr>
          <w:rFonts w:eastAsia="Calibri" w:cs="Calibri"/>
          <w:b/>
          <w:bCs/>
          <w:kern w:val="2"/>
          <w:lang w:eastAsia="en-US"/>
          <w14:ligatures w14:val="standardContextual"/>
        </w:rPr>
        <w:br/>
      </w:r>
      <w:r w:rsidRPr="00572B57">
        <w:rPr>
          <w:rFonts w:eastAsia="Calibri" w:cs="Calibri"/>
          <w:b/>
          <w:bCs/>
          <w:kern w:val="2"/>
          <w:lang w:eastAsia="en-US"/>
          <w14:ligatures w14:val="standardContextual"/>
        </w:rPr>
        <w:t>2 vuoden välein</w:t>
      </w:r>
      <w:r w:rsidRPr="00572B57">
        <w:rPr>
          <w:rFonts w:eastAsia="Calibri" w:cs="Calibri"/>
          <w:i/>
          <w:iCs/>
          <w:kern w:val="2"/>
          <w:lang w:eastAsia="en-US"/>
          <w14:ligatures w14:val="standardContextual"/>
        </w:rPr>
        <w:t xml:space="preserve">. </w:t>
      </w:r>
    </w:p>
    <w:p w14:paraId="483E6402" w14:textId="17C31BB4" w:rsidR="00BF19CB" w:rsidRPr="00572B57" w:rsidRDefault="00BF19CB" w:rsidP="00572B57">
      <w:pPr>
        <w:pStyle w:val="Luettelokappale"/>
        <w:numPr>
          <w:ilvl w:val="0"/>
          <w:numId w:val="22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kern w:val="2"/>
          <w:lang w:eastAsia="en-US"/>
          <w14:ligatures w14:val="standardContextual"/>
        </w:rPr>
        <w:t xml:space="preserve">Seulontaikäisten mammografiaseuranta joka toinen vuosi seulonnassa. </w:t>
      </w:r>
    </w:p>
    <w:p w14:paraId="1C8F88BB" w14:textId="23D2D0AB" w:rsidR="00BF19CB" w:rsidRPr="00572B57" w:rsidRDefault="00BF19CB" w:rsidP="00572B57">
      <w:pPr>
        <w:pStyle w:val="Luettelokappale"/>
        <w:numPr>
          <w:ilvl w:val="0"/>
          <w:numId w:val="22"/>
        </w:numPr>
        <w:rPr>
          <w:rFonts w:eastAsia="Calibri" w:cs="Calibri"/>
          <w:kern w:val="2"/>
          <w:lang w:eastAsia="en-US"/>
          <w14:ligatures w14:val="standardContextual"/>
        </w:rPr>
      </w:pPr>
      <w:r w:rsidRPr="00572B57">
        <w:rPr>
          <w:rFonts w:eastAsia="Calibri" w:cs="Calibri"/>
          <w:kern w:val="2"/>
          <w:lang w:eastAsia="en-US"/>
          <w14:ligatures w14:val="standardContextual"/>
        </w:rPr>
        <w:t xml:space="preserve">Mikäli mammografia on vaikeatulkintainen, esim. D tiiviys, niin lisänä UÄ ensimmäisten </w:t>
      </w:r>
      <w:r w:rsidR="00ED1676">
        <w:rPr>
          <w:rFonts w:eastAsia="Calibri" w:cs="Calibri"/>
          <w:kern w:val="2"/>
          <w:lang w:eastAsia="en-US"/>
          <w14:ligatures w14:val="standardContextual"/>
        </w:rPr>
        <w:br/>
      </w:r>
      <w:r w:rsidRPr="00572B57">
        <w:rPr>
          <w:rFonts w:eastAsia="Calibri" w:cs="Calibri"/>
          <w:kern w:val="2"/>
          <w:lang w:eastAsia="en-US"/>
          <w14:ligatures w14:val="standardContextual"/>
        </w:rPr>
        <w:t xml:space="preserve">5 vuoden aikana </w:t>
      </w:r>
    </w:p>
    <w:p w14:paraId="79E6CBD7" w14:textId="3C6A291E" w:rsidR="00AA2438" w:rsidRPr="00F53A45" w:rsidRDefault="00AA2438" w:rsidP="00F53A45"/>
    <w:sectPr w:rsidR="00AA2438" w:rsidRPr="00F53A45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5156E8E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408C6B3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C015F">
                            <w:rPr>
                              <w:sz w:val="18"/>
                              <w:szCs w:val="18"/>
                            </w:rPr>
                            <w:t>Ipatti Pieta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408C6B3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proofErr w:type="spellStart"/>
                    <w:r w:rsidR="00CC015F">
                      <w:rPr>
                        <w:sz w:val="18"/>
                        <w:szCs w:val="18"/>
                      </w:rPr>
                      <w:t>Ipatti</w:t>
                    </w:r>
                    <w:proofErr w:type="spellEnd"/>
                    <w:r w:rsidR="00CC015F">
                      <w:rPr>
                        <w:sz w:val="18"/>
                        <w:szCs w:val="18"/>
                      </w:rPr>
                      <w:t xml:space="preserve"> Pieta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D01D342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C015F">
                            <w:rPr>
                              <w:sz w:val="18"/>
                              <w:szCs w:val="18"/>
                            </w:rPr>
                            <w:t>Ipatti Pieta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5D01D342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proofErr w:type="spellStart"/>
                    <w:r w:rsidR="00CC015F">
                      <w:rPr>
                        <w:sz w:val="18"/>
                        <w:szCs w:val="18"/>
                      </w:rPr>
                      <w:t>Ipatti</w:t>
                    </w:r>
                    <w:proofErr w:type="spellEnd"/>
                    <w:r w:rsidR="00CC015F">
                      <w:rPr>
                        <w:sz w:val="18"/>
                        <w:szCs w:val="18"/>
                      </w:rPr>
                      <w:t xml:space="preserve"> Pieta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19CB">
          <w:rPr>
            <w:sz w:val="16"/>
            <w:szCs w:val="16"/>
          </w:rPr>
          <w:t>Pohjois-Pohjanmaan hyvinvointialue - rintasyöpäpotilaan kuvantamisseuranta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3E0D3C1" w:rsidR="00BD1530" w:rsidRPr="004E7FC1" w:rsidRDefault="00A92860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2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34D465E" w:rsidR="000631E7" w:rsidRPr="004E7FC1" w:rsidRDefault="00CC015F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21.10.2024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3B18"/>
    <w:multiLevelType w:val="hybridMultilevel"/>
    <w:tmpl w:val="D1205098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CA23A0"/>
    <w:multiLevelType w:val="hybridMultilevel"/>
    <w:tmpl w:val="F0128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64F221C"/>
    <w:multiLevelType w:val="hybridMultilevel"/>
    <w:tmpl w:val="610459DE"/>
    <w:lvl w:ilvl="0" w:tplc="05F84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1423D54"/>
    <w:multiLevelType w:val="hybridMultilevel"/>
    <w:tmpl w:val="46BA99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1"/>
  </w:num>
  <w:num w:numId="13" w16cid:durableId="70978191">
    <w:abstractNumId w:val="6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7"/>
  </w:num>
  <w:num w:numId="17" w16cid:durableId="627246728">
    <w:abstractNumId w:val="4"/>
  </w:num>
  <w:num w:numId="18" w16cid:durableId="1203321292">
    <w:abstractNumId w:val="12"/>
  </w:num>
  <w:num w:numId="19" w16cid:durableId="530922997">
    <w:abstractNumId w:val="8"/>
  </w:num>
  <w:num w:numId="20" w16cid:durableId="1464425836">
    <w:abstractNumId w:val="15"/>
  </w:num>
  <w:num w:numId="21" w16cid:durableId="326712350">
    <w:abstractNumId w:val="5"/>
  </w:num>
  <w:num w:numId="22" w16cid:durableId="1177234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72B57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92860"/>
    <w:rsid w:val="00AA2438"/>
    <w:rsid w:val="00AA4C99"/>
    <w:rsid w:val="00AC18C2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19C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015F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1676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A4748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551</Value>
      <Value>44</Value>
      <Value>42</Value>
      <Value>41</Value>
      <Value>820</Value>
      <Value>1329</Value>
      <Value>1039</Value>
      <Value>1</Value>
      <Value>886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i:0#.w|oysnet\ipattipi</DisplayName>
        <AccountId>2173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Mammografia</TermName>
          <TermId xmlns="http://schemas.microsoft.com/office/infopath/2007/PartnerControls">35cda47e-65c6-45aa-9df1-e108aa8fba4c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MUAVRSSTWASF-628417917-629</_dlc_DocId>
    <_dlc_DocIdUrl xmlns="d3e50268-7799-48af-83c3-9a9b063078bc">
      <Url>https://internet.oysnet.ppshp.fi/dokumentit/_layouts/15/DocIdRedir.aspx?ID=MUAVRSSTWASF-628417917-629</Url>
      <Description>MUAVRSSTWASF-628417917-629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1D053-D2D7-4ABA-9614-307512E580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2006/documentManagement/types"/>
    <ds:schemaRef ds:uri="0af04246-5dcb-4e38-b8a1-4adaeb3681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d3e50268-7799-48af-83c3-9a9b063078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6380BF-309F-454A-A20C-37F26B3ADD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76A41AD-C9B9-4DBF-94D1-8140B7DF3847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283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Pohjois-Pohjanmaan hyvinvointialue - rintasyöpäpotilaan kuvantamisseuranta</dc:title>
  <dc:subject/>
  <dc:creator/>
  <cp:keywords/>
  <dc:description/>
  <cp:lastModifiedBy/>
  <cp:revision>1</cp:revision>
  <dcterms:created xsi:type="dcterms:W3CDTF">2024-10-21T07:42:00Z</dcterms:created>
  <dcterms:modified xsi:type="dcterms:W3CDTF">2024-11-06T08:40:00Z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282ce579-446d-4151-880b-de3010ecc063</vt:lpwstr>
  </property>
  <property fmtid="{D5CDD505-2E9C-101B-9397-08002B2CF9AE}" pid="18" name="Kriisiviestintä">
    <vt:lpwstr/>
  </property>
  <property fmtid="{D5CDD505-2E9C-101B-9397-08002B2CF9AE}" pid="19" name="Kuvantamisen ohjeen elinryhmät (sisältötyypin metatieto)">
    <vt:lpwstr>1039;#Rintarauhaset|1ed5fd95-9730-4dd3-a13a-303dca90ab87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551;#Mammografia|35cda47e-65c6-45aa-9df1-e108aa8fba4c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1;#Pohjois-Pohjanmaan sairaanhoitopiiri|be8cbbf1-c5fa-44e0-8d6c-f88ba4a3bcc6</vt:lpwstr>
  </property>
  <property fmtid="{D5CDD505-2E9C-101B-9397-08002B2CF9AE}" pid="30" name="Order">
    <vt:r8>999000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